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BF" w:rsidRDefault="007D7DBF" w:rsidP="0088360A">
      <w:pPr>
        <w:spacing w:after="160" w:line="259" w:lineRule="auto"/>
        <w:jc w:val="center"/>
        <w:rPr>
          <w:rFonts w:eastAsia="Calibri"/>
          <w:b/>
          <w:sz w:val="32"/>
          <w:szCs w:val="32"/>
        </w:rPr>
      </w:pPr>
      <w:bookmarkStart w:id="0" w:name="_GoBack"/>
      <w:bookmarkEnd w:id="0"/>
      <w:r>
        <w:rPr>
          <w:rFonts w:eastAsia="Calibri"/>
          <w:b/>
          <w:noProof/>
          <w:sz w:val="32"/>
          <w:szCs w:val="32"/>
          <w:lang w:eastAsia="en-GB"/>
        </w:rPr>
        <w:drawing>
          <wp:anchor distT="0" distB="0" distL="114300" distR="114300" simplePos="0" relativeHeight="251658240" behindDoc="0" locked="0" layoutInCell="1" allowOverlap="1" wp14:anchorId="49DBF11A" wp14:editId="15BD40E6">
            <wp:simplePos x="0" y="0"/>
            <wp:positionH relativeFrom="column">
              <wp:posOffset>3864610</wp:posOffset>
            </wp:positionH>
            <wp:positionV relativeFrom="paragraph">
              <wp:posOffset>-554990</wp:posOffset>
            </wp:positionV>
            <wp:extent cx="2184400" cy="1016000"/>
            <wp:effectExtent l="0" t="0" r="6350" b="0"/>
            <wp:wrapNone/>
            <wp:docPr id="1" name="Picture 1" descr="W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DBF" w:rsidRDefault="007D7DBF" w:rsidP="0088360A">
      <w:pPr>
        <w:spacing w:after="160" w:line="259" w:lineRule="auto"/>
        <w:jc w:val="center"/>
        <w:rPr>
          <w:rFonts w:eastAsia="Calibri"/>
          <w:b/>
          <w:sz w:val="32"/>
          <w:szCs w:val="32"/>
        </w:rPr>
      </w:pPr>
    </w:p>
    <w:p w:rsidR="0088360A" w:rsidRPr="0088360A" w:rsidRDefault="0088360A" w:rsidP="0088360A">
      <w:pPr>
        <w:spacing w:after="160" w:line="259" w:lineRule="auto"/>
        <w:jc w:val="center"/>
        <w:rPr>
          <w:rFonts w:eastAsia="Calibri"/>
          <w:b/>
          <w:sz w:val="32"/>
          <w:szCs w:val="32"/>
        </w:rPr>
      </w:pPr>
      <w:r w:rsidRPr="0088360A">
        <w:rPr>
          <w:rFonts w:eastAsia="Calibri"/>
          <w:b/>
          <w:sz w:val="32"/>
          <w:szCs w:val="32"/>
        </w:rPr>
        <w:t>BRIEFING SHEET FOR CARE HOMES AND HOSPITALS</w:t>
      </w:r>
    </w:p>
    <w:p w:rsidR="0088360A" w:rsidRPr="0088360A" w:rsidRDefault="0088360A" w:rsidP="007D7DBF">
      <w:pPr>
        <w:spacing w:after="160" w:line="259" w:lineRule="auto"/>
        <w:jc w:val="center"/>
        <w:rPr>
          <w:rFonts w:eastAsia="Calibri"/>
        </w:rPr>
      </w:pPr>
      <w:r w:rsidRPr="0088360A">
        <w:rPr>
          <w:rFonts w:eastAsia="Calibri"/>
        </w:rPr>
        <w:t>Changes to Deprivation of Liberty after Cheshire West Court Case</w:t>
      </w:r>
    </w:p>
    <w:p w:rsidR="0088360A" w:rsidRPr="0088360A" w:rsidRDefault="0088360A" w:rsidP="0088360A">
      <w:pPr>
        <w:spacing w:after="160" w:line="259" w:lineRule="auto"/>
        <w:rPr>
          <w:rFonts w:eastAsia="Calibri"/>
          <w:b/>
        </w:rPr>
      </w:pPr>
      <w:proofErr w:type="gramStart"/>
      <w:r w:rsidRPr="0088360A">
        <w:rPr>
          <w:rFonts w:eastAsia="Calibri"/>
          <w:b/>
        </w:rPr>
        <w:t>How to decide whether it is likely that a deprivation of liberty is occurring and when to make a referral to the DoLS Team.</w:t>
      </w:r>
      <w:proofErr w:type="gramEnd"/>
    </w:p>
    <w:p w:rsidR="007D7DBF" w:rsidRDefault="007D7DBF" w:rsidP="0088360A">
      <w:pPr>
        <w:spacing w:after="160" w:line="259" w:lineRule="auto"/>
        <w:rPr>
          <w:rFonts w:eastAsia="Calibri"/>
        </w:rPr>
      </w:pPr>
    </w:p>
    <w:p w:rsidR="0088360A" w:rsidRPr="0088360A" w:rsidRDefault="0088360A" w:rsidP="0088360A">
      <w:pPr>
        <w:spacing w:after="160" w:line="259" w:lineRule="auto"/>
        <w:rPr>
          <w:rFonts w:eastAsia="Calibri"/>
        </w:rPr>
      </w:pPr>
      <w:r w:rsidRPr="0088360A">
        <w:rPr>
          <w:rFonts w:eastAsia="Calibri"/>
        </w:rPr>
        <w:t>The requirement for the Deprivation of Liberty Safeguards remain the same</w:t>
      </w:r>
    </w:p>
    <w:p w:rsidR="0088360A" w:rsidRPr="0088360A" w:rsidRDefault="0088360A" w:rsidP="0088360A">
      <w:pPr>
        <w:spacing w:after="160" w:line="259" w:lineRule="auto"/>
        <w:rPr>
          <w:rFonts w:eastAsia="Calibri"/>
        </w:rPr>
      </w:pPr>
      <w:r w:rsidRPr="0088360A">
        <w:rPr>
          <w:rFonts w:eastAsia="Calibri"/>
        </w:rPr>
        <w:t>The following 6 requirements still need to be met:</w:t>
      </w:r>
    </w:p>
    <w:p w:rsidR="0088360A" w:rsidRPr="0088360A" w:rsidRDefault="0088360A" w:rsidP="0088360A">
      <w:pPr>
        <w:numPr>
          <w:ilvl w:val="0"/>
          <w:numId w:val="1"/>
        </w:numPr>
        <w:spacing w:after="160" w:line="259" w:lineRule="auto"/>
        <w:ind w:left="567" w:hanging="567"/>
        <w:contextualSpacing/>
        <w:rPr>
          <w:rFonts w:eastAsia="Calibri"/>
        </w:rPr>
      </w:pPr>
      <w:r w:rsidRPr="0088360A">
        <w:rPr>
          <w:rFonts w:eastAsia="Calibri"/>
        </w:rPr>
        <w:t>Person is aged 18 or over</w:t>
      </w:r>
    </w:p>
    <w:p w:rsidR="0088360A" w:rsidRPr="0088360A" w:rsidRDefault="0088360A" w:rsidP="0088360A">
      <w:pPr>
        <w:numPr>
          <w:ilvl w:val="0"/>
          <w:numId w:val="1"/>
        </w:numPr>
        <w:spacing w:after="160" w:line="259" w:lineRule="auto"/>
        <w:ind w:left="567" w:hanging="567"/>
        <w:contextualSpacing/>
        <w:rPr>
          <w:rFonts w:eastAsia="Calibri"/>
        </w:rPr>
      </w:pPr>
      <w:r w:rsidRPr="0088360A">
        <w:rPr>
          <w:rFonts w:eastAsia="Calibri"/>
        </w:rPr>
        <w:t>They are suffering from a mental disorder</w:t>
      </w:r>
    </w:p>
    <w:p w:rsidR="0088360A" w:rsidRPr="0088360A" w:rsidRDefault="0088360A" w:rsidP="0088360A">
      <w:pPr>
        <w:numPr>
          <w:ilvl w:val="0"/>
          <w:numId w:val="1"/>
        </w:numPr>
        <w:spacing w:after="160" w:line="259" w:lineRule="auto"/>
        <w:ind w:left="567" w:hanging="567"/>
        <w:contextualSpacing/>
        <w:rPr>
          <w:rFonts w:eastAsia="Calibri"/>
        </w:rPr>
      </w:pPr>
      <w:r w:rsidRPr="0088360A">
        <w:rPr>
          <w:rFonts w:eastAsia="Calibri"/>
        </w:rPr>
        <w:t>They lack the mental capacity to decide to be accommodated in the hospital or care home</w:t>
      </w:r>
    </w:p>
    <w:p w:rsidR="0088360A" w:rsidRPr="0088360A" w:rsidRDefault="0088360A" w:rsidP="0088360A">
      <w:pPr>
        <w:numPr>
          <w:ilvl w:val="0"/>
          <w:numId w:val="1"/>
        </w:numPr>
        <w:spacing w:after="160" w:line="259" w:lineRule="auto"/>
        <w:ind w:left="567" w:hanging="567"/>
        <w:contextualSpacing/>
        <w:rPr>
          <w:rFonts w:eastAsia="Calibri"/>
        </w:rPr>
      </w:pPr>
      <w:r w:rsidRPr="0088360A">
        <w:rPr>
          <w:rFonts w:eastAsia="Calibri"/>
        </w:rPr>
        <w:t>They have not made a valid decision previously to refuse treatment or care, or their health and welfare LPA has not made such a decision</w:t>
      </w:r>
    </w:p>
    <w:p w:rsidR="0088360A" w:rsidRPr="0088360A" w:rsidRDefault="0088360A" w:rsidP="0088360A">
      <w:pPr>
        <w:numPr>
          <w:ilvl w:val="0"/>
          <w:numId w:val="1"/>
        </w:numPr>
        <w:spacing w:after="160" w:line="259" w:lineRule="auto"/>
        <w:ind w:left="567" w:hanging="567"/>
        <w:contextualSpacing/>
        <w:rPr>
          <w:rFonts w:eastAsia="Calibri"/>
        </w:rPr>
      </w:pPr>
      <w:r w:rsidRPr="0088360A">
        <w:rPr>
          <w:rFonts w:eastAsia="Calibri"/>
        </w:rPr>
        <w:t>They are not eligible to be detained under the Mental Health Act</w:t>
      </w:r>
    </w:p>
    <w:p w:rsidR="0088360A" w:rsidRPr="0088360A" w:rsidRDefault="0088360A" w:rsidP="0088360A">
      <w:pPr>
        <w:numPr>
          <w:ilvl w:val="0"/>
          <w:numId w:val="1"/>
        </w:numPr>
        <w:spacing w:after="160" w:line="259" w:lineRule="auto"/>
        <w:ind w:left="567" w:hanging="567"/>
        <w:contextualSpacing/>
        <w:rPr>
          <w:rFonts w:eastAsia="Calibri"/>
        </w:rPr>
      </w:pPr>
      <w:r w:rsidRPr="0088360A">
        <w:rPr>
          <w:rFonts w:eastAsia="Calibri"/>
        </w:rPr>
        <w:t>It is in the person best interests to be deprived of their liberty</w:t>
      </w:r>
    </w:p>
    <w:p w:rsidR="0088360A" w:rsidRPr="0088360A" w:rsidRDefault="0088360A" w:rsidP="0088360A">
      <w:pPr>
        <w:spacing w:after="160" w:line="259" w:lineRule="auto"/>
        <w:rPr>
          <w:rFonts w:eastAsia="Calibri"/>
        </w:rPr>
      </w:pPr>
    </w:p>
    <w:p w:rsidR="0088360A" w:rsidRPr="0088360A" w:rsidRDefault="0088360A" w:rsidP="0088360A">
      <w:pPr>
        <w:spacing w:after="160" w:line="259" w:lineRule="auto"/>
        <w:rPr>
          <w:rFonts w:eastAsia="Calibri"/>
          <w:color w:val="262626"/>
        </w:rPr>
      </w:pPr>
      <w:r w:rsidRPr="0088360A">
        <w:rPr>
          <w:rFonts w:eastAsia="Calibri"/>
          <w:color w:val="262626"/>
        </w:rPr>
        <w:t>The difficulty comes in working out whether a situation in a hospital or care home amounts to a deprivation of liberty.</w:t>
      </w:r>
    </w:p>
    <w:p w:rsidR="0088360A" w:rsidRPr="0088360A" w:rsidRDefault="0088360A" w:rsidP="0088360A">
      <w:pPr>
        <w:spacing w:after="160" w:line="259" w:lineRule="auto"/>
        <w:rPr>
          <w:rFonts w:eastAsia="Calibri"/>
        </w:rPr>
      </w:pPr>
      <w:r w:rsidRPr="0088360A">
        <w:rPr>
          <w:rFonts w:eastAsia="Calibri"/>
          <w:color w:val="262626"/>
        </w:rPr>
        <w:t xml:space="preserve">The Supreme Court introduced the ‘acid test’ </w:t>
      </w:r>
    </w:p>
    <w:p w:rsidR="0088360A" w:rsidRPr="0088360A" w:rsidRDefault="0088360A" w:rsidP="0088360A">
      <w:pPr>
        <w:widowControl w:val="0"/>
        <w:numPr>
          <w:ilvl w:val="0"/>
          <w:numId w:val="4"/>
        </w:numPr>
        <w:spacing w:before="240" w:after="0" w:line="259" w:lineRule="auto"/>
        <w:ind w:left="567" w:right="113" w:hanging="567"/>
        <w:jc w:val="both"/>
        <w:rPr>
          <w:rFonts w:eastAsia="Times New Roman"/>
          <w:bCs/>
          <w:color w:val="262626"/>
          <w:lang w:eastAsia="en-GB"/>
        </w:rPr>
      </w:pPr>
      <w:r w:rsidRPr="0088360A">
        <w:rPr>
          <w:rFonts w:eastAsia="Times New Roman"/>
          <w:bCs/>
          <w:color w:val="262626"/>
          <w:lang w:eastAsia="en-GB"/>
        </w:rPr>
        <w:t xml:space="preserve">Is the person subject to </w:t>
      </w:r>
      <w:r w:rsidRPr="0088360A">
        <w:rPr>
          <w:rFonts w:eastAsia="Times New Roman"/>
          <w:b/>
          <w:bCs/>
          <w:color w:val="262626"/>
          <w:lang w:eastAsia="en-GB"/>
        </w:rPr>
        <w:t>continuous</w:t>
      </w:r>
      <w:r w:rsidRPr="0088360A">
        <w:rPr>
          <w:rFonts w:eastAsia="Times New Roman"/>
          <w:bCs/>
          <w:color w:val="262626"/>
          <w:lang w:eastAsia="en-GB"/>
        </w:rPr>
        <w:t xml:space="preserve"> </w:t>
      </w:r>
      <w:r w:rsidRPr="0088360A">
        <w:rPr>
          <w:rFonts w:eastAsia="Times New Roman"/>
          <w:b/>
          <w:bCs/>
          <w:color w:val="262626"/>
          <w:lang w:eastAsia="en-GB"/>
        </w:rPr>
        <w:t>supervision</w:t>
      </w:r>
      <w:r w:rsidRPr="0088360A">
        <w:rPr>
          <w:rFonts w:eastAsia="Times New Roman"/>
          <w:bCs/>
          <w:color w:val="262626"/>
          <w:lang w:eastAsia="en-GB"/>
        </w:rPr>
        <w:t xml:space="preserve"> and </w:t>
      </w:r>
      <w:r w:rsidRPr="0088360A">
        <w:rPr>
          <w:rFonts w:eastAsia="Times New Roman"/>
          <w:b/>
          <w:bCs/>
          <w:color w:val="262626"/>
          <w:lang w:eastAsia="en-GB"/>
        </w:rPr>
        <w:t>control</w:t>
      </w:r>
    </w:p>
    <w:p w:rsidR="0088360A" w:rsidRPr="0088360A" w:rsidRDefault="0088360A" w:rsidP="0088360A">
      <w:pPr>
        <w:spacing w:after="160" w:line="259" w:lineRule="auto"/>
        <w:ind w:left="567" w:right="113" w:hanging="567"/>
        <w:contextualSpacing/>
        <w:rPr>
          <w:rFonts w:eastAsia="Calibri"/>
          <w:b/>
        </w:rPr>
      </w:pPr>
    </w:p>
    <w:p w:rsidR="0088360A" w:rsidRPr="0088360A" w:rsidRDefault="0088360A" w:rsidP="0088360A">
      <w:pPr>
        <w:spacing w:after="160" w:line="259" w:lineRule="auto"/>
        <w:ind w:left="567" w:right="113"/>
        <w:contextualSpacing/>
        <w:rPr>
          <w:rFonts w:eastAsia="Calibri"/>
          <w:b/>
        </w:rPr>
      </w:pPr>
      <w:r w:rsidRPr="0088360A">
        <w:rPr>
          <w:rFonts w:eastAsia="Calibri"/>
          <w:b/>
        </w:rPr>
        <w:t>AND</w:t>
      </w:r>
    </w:p>
    <w:p w:rsidR="0088360A" w:rsidRPr="0088360A" w:rsidRDefault="0088360A" w:rsidP="0088360A">
      <w:pPr>
        <w:widowControl w:val="0"/>
        <w:numPr>
          <w:ilvl w:val="0"/>
          <w:numId w:val="4"/>
        </w:numPr>
        <w:spacing w:before="240" w:after="0" w:line="259" w:lineRule="auto"/>
        <w:ind w:left="567" w:right="113" w:hanging="567"/>
        <w:jc w:val="both"/>
        <w:rPr>
          <w:rFonts w:eastAsia="Times New Roman"/>
          <w:bCs/>
          <w:color w:val="262626"/>
          <w:lang w:eastAsia="en-GB"/>
        </w:rPr>
      </w:pPr>
      <w:r w:rsidRPr="0088360A">
        <w:rPr>
          <w:rFonts w:eastAsia="Times New Roman"/>
          <w:bCs/>
          <w:color w:val="262626"/>
          <w:lang w:eastAsia="en-GB"/>
        </w:rPr>
        <w:t xml:space="preserve">Is the person free to leave? (The person may not be asking to leave or making any attempt to leave but the question to ask is if they did would they be allowed to leave) </w:t>
      </w:r>
    </w:p>
    <w:p w:rsidR="0088360A" w:rsidRPr="0088360A" w:rsidRDefault="0088360A" w:rsidP="0088360A">
      <w:pPr>
        <w:widowControl w:val="0"/>
        <w:spacing w:before="240" w:after="0" w:line="259" w:lineRule="auto"/>
        <w:ind w:right="113"/>
        <w:jc w:val="both"/>
        <w:rPr>
          <w:rFonts w:eastAsia="Times New Roman"/>
          <w:bCs/>
          <w:color w:val="262626"/>
          <w:sz w:val="28"/>
          <w:szCs w:val="28"/>
          <w:lang w:eastAsia="en-GB"/>
        </w:rPr>
      </w:pPr>
      <w:r w:rsidRPr="0088360A">
        <w:rPr>
          <w:rFonts w:eastAsia="Times New Roman"/>
          <w:b/>
          <w:bCs/>
          <w:color w:val="262626"/>
          <w:sz w:val="28"/>
          <w:szCs w:val="28"/>
          <w:lang w:eastAsia="en-GB"/>
        </w:rPr>
        <w:t xml:space="preserve">Therefore if a person is subject to continuous supervision and control </w:t>
      </w:r>
      <w:r w:rsidRPr="0088360A">
        <w:rPr>
          <w:rFonts w:eastAsia="Times New Roman"/>
          <w:b/>
          <w:bCs/>
          <w:color w:val="262626"/>
          <w:sz w:val="28"/>
          <w:szCs w:val="28"/>
          <w:u w:val="single"/>
          <w:lang w:eastAsia="en-GB"/>
        </w:rPr>
        <w:t>and</w:t>
      </w:r>
      <w:r w:rsidRPr="0088360A">
        <w:rPr>
          <w:rFonts w:eastAsia="Times New Roman"/>
          <w:b/>
          <w:bCs/>
          <w:color w:val="262626"/>
          <w:sz w:val="28"/>
          <w:szCs w:val="28"/>
          <w:lang w:eastAsia="en-GB"/>
        </w:rPr>
        <w:t xml:space="preserve"> not free to leave they are being deprived of their liberty</w:t>
      </w:r>
      <w:r w:rsidRPr="0088360A">
        <w:rPr>
          <w:rFonts w:eastAsia="Times New Roman"/>
          <w:bCs/>
          <w:color w:val="262626"/>
          <w:sz w:val="28"/>
          <w:szCs w:val="28"/>
          <w:lang w:eastAsia="en-GB"/>
        </w:rPr>
        <w:t xml:space="preserve">. </w:t>
      </w:r>
    </w:p>
    <w:p w:rsidR="0088360A" w:rsidRPr="0088360A" w:rsidRDefault="0088360A" w:rsidP="0088360A">
      <w:pPr>
        <w:spacing w:after="160" w:line="259" w:lineRule="auto"/>
        <w:ind w:hanging="113"/>
        <w:rPr>
          <w:rFonts w:ascii="Calibri" w:eastAsia="Calibri" w:hAnsi="Calibri" w:cs="Times New Roman"/>
          <w:sz w:val="22"/>
          <w:szCs w:val="22"/>
        </w:rPr>
      </w:pPr>
    </w:p>
    <w:p w:rsidR="0088360A" w:rsidRPr="0088360A" w:rsidRDefault="0088360A" w:rsidP="0088360A">
      <w:pPr>
        <w:spacing w:after="160" w:line="259" w:lineRule="auto"/>
        <w:jc w:val="both"/>
        <w:rPr>
          <w:rFonts w:eastAsia="Calibri"/>
        </w:rPr>
      </w:pPr>
      <w:r w:rsidRPr="0088360A">
        <w:rPr>
          <w:rFonts w:eastAsia="Calibri"/>
          <w:lang w:eastAsia="en-GB"/>
        </w:rPr>
        <w:t xml:space="preserve">Each case needs to be decided on its own merits but equality means that the threshold for a DoLS has been widened, it must be the same for everyone regardless of their disability. Therefore if the arrangements for an individual with capacity, who is not disabled, amount to a DoLS then it would also amount to a DoLS for </w:t>
      </w:r>
      <w:r w:rsidR="00A70212">
        <w:rPr>
          <w:rFonts w:eastAsia="Calibri"/>
          <w:lang w:eastAsia="en-GB"/>
        </w:rPr>
        <w:t>a person who lacks capacity.</w:t>
      </w:r>
    </w:p>
    <w:p w:rsidR="0088360A" w:rsidRPr="0088360A" w:rsidRDefault="0088360A" w:rsidP="0088360A">
      <w:pPr>
        <w:widowControl w:val="0"/>
        <w:spacing w:before="240" w:after="0" w:line="259" w:lineRule="auto"/>
        <w:ind w:right="113"/>
        <w:jc w:val="both"/>
        <w:rPr>
          <w:rFonts w:eastAsia="Times New Roman"/>
          <w:bCs/>
          <w:color w:val="262626"/>
          <w:lang w:eastAsia="en-GB"/>
        </w:rPr>
      </w:pPr>
      <w:r w:rsidRPr="0088360A">
        <w:rPr>
          <w:rFonts w:eastAsia="Times New Roman"/>
          <w:bCs/>
          <w:color w:val="262626"/>
          <w:lang w:eastAsia="en-GB"/>
        </w:rPr>
        <w:lastRenderedPageBreak/>
        <w:t xml:space="preserve">The following factors are no longer relevant to determining whether a person is being deprived of their liberty: </w:t>
      </w:r>
    </w:p>
    <w:p w:rsidR="0088360A" w:rsidRPr="0088360A" w:rsidRDefault="0088360A" w:rsidP="0088360A">
      <w:pPr>
        <w:spacing w:after="160" w:line="259" w:lineRule="auto"/>
        <w:rPr>
          <w:rFonts w:ascii="Calibri" w:eastAsia="Calibri" w:hAnsi="Calibri" w:cs="Times New Roman"/>
          <w:sz w:val="22"/>
          <w:szCs w:val="22"/>
          <w:lang w:eastAsia="en-GB"/>
        </w:rPr>
      </w:pPr>
    </w:p>
    <w:p w:rsidR="0088360A" w:rsidRPr="0088360A" w:rsidRDefault="0088360A" w:rsidP="0088360A">
      <w:pPr>
        <w:numPr>
          <w:ilvl w:val="0"/>
          <w:numId w:val="5"/>
        </w:numPr>
        <w:spacing w:after="160" w:line="259" w:lineRule="auto"/>
        <w:ind w:left="567" w:hanging="567"/>
        <w:contextualSpacing/>
        <w:rPr>
          <w:rFonts w:eastAsia="Calibri"/>
        </w:rPr>
      </w:pPr>
      <w:r w:rsidRPr="0088360A">
        <w:rPr>
          <w:rFonts w:eastAsia="Calibri"/>
        </w:rPr>
        <w:t>The person’s compliance or lack of objection</w:t>
      </w:r>
    </w:p>
    <w:p w:rsidR="0088360A" w:rsidRPr="0088360A" w:rsidRDefault="0088360A" w:rsidP="0088360A">
      <w:pPr>
        <w:numPr>
          <w:ilvl w:val="0"/>
          <w:numId w:val="5"/>
        </w:numPr>
        <w:spacing w:after="160" w:line="259" w:lineRule="auto"/>
        <w:ind w:left="567" w:hanging="567"/>
        <w:contextualSpacing/>
        <w:rPr>
          <w:rFonts w:eastAsia="Calibri"/>
        </w:rPr>
      </w:pPr>
      <w:r w:rsidRPr="0088360A">
        <w:rPr>
          <w:rFonts w:eastAsia="Calibri"/>
        </w:rPr>
        <w:t>The relative normality of the placement</w:t>
      </w:r>
    </w:p>
    <w:p w:rsidR="0088360A" w:rsidRPr="0088360A" w:rsidRDefault="0088360A" w:rsidP="0088360A">
      <w:pPr>
        <w:numPr>
          <w:ilvl w:val="0"/>
          <w:numId w:val="5"/>
        </w:numPr>
        <w:spacing w:after="160" w:line="259" w:lineRule="auto"/>
        <w:ind w:left="567" w:hanging="567"/>
        <w:contextualSpacing/>
        <w:rPr>
          <w:rFonts w:eastAsia="Calibri"/>
        </w:rPr>
      </w:pPr>
      <w:r w:rsidRPr="0088360A">
        <w:rPr>
          <w:rFonts w:eastAsia="Calibri"/>
        </w:rPr>
        <w:t>The reason or purpose behind a particular placement</w:t>
      </w:r>
    </w:p>
    <w:p w:rsidR="0088360A" w:rsidRPr="0088360A" w:rsidRDefault="0088360A" w:rsidP="0088360A">
      <w:pPr>
        <w:numPr>
          <w:ilvl w:val="0"/>
          <w:numId w:val="5"/>
        </w:numPr>
        <w:spacing w:after="160" w:line="259" w:lineRule="auto"/>
        <w:ind w:left="567" w:hanging="567"/>
        <w:contextualSpacing/>
        <w:rPr>
          <w:rFonts w:eastAsia="Calibri"/>
        </w:rPr>
      </w:pPr>
      <w:r w:rsidRPr="0088360A">
        <w:rPr>
          <w:rFonts w:eastAsia="Calibri"/>
        </w:rPr>
        <w:t>The nature of the individuals disability</w:t>
      </w:r>
    </w:p>
    <w:p w:rsidR="0088360A" w:rsidRPr="0088360A" w:rsidRDefault="0088360A" w:rsidP="0088360A">
      <w:pPr>
        <w:numPr>
          <w:ilvl w:val="0"/>
          <w:numId w:val="5"/>
        </w:numPr>
        <w:spacing w:after="160" w:line="259" w:lineRule="auto"/>
        <w:ind w:left="567" w:hanging="567"/>
        <w:contextualSpacing/>
        <w:rPr>
          <w:rFonts w:eastAsia="Calibri"/>
        </w:rPr>
      </w:pPr>
      <w:r w:rsidRPr="0088360A">
        <w:rPr>
          <w:rFonts w:eastAsia="Calibri"/>
        </w:rPr>
        <w:t>The Individuals awareness that they are or likely to be subject to a DoLS</w:t>
      </w:r>
    </w:p>
    <w:p w:rsidR="0088360A" w:rsidRPr="0088360A" w:rsidRDefault="0088360A" w:rsidP="0088360A">
      <w:pPr>
        <w:widowControl w:val="0"/>
        <w:tabs>
          <w:tab w:val="left" w:pos="7088"/>
        </w:tabs>
        <w:spacing w:after="0" w:line="240" w:lineRule="auto"/>
        <w:ind w:right="113"/>
        <w:jc w:val="both"/>
        <w:rPr>
          <w:rFonts w:eastAsia="Times New Roman"/>
          <w:bCs/>
          <w:color w:val="262626"/>
          <w:lang w:eastAsia="en-GB"/>
        </w:rPr>
      </w:pPr>
      <w:r w:rsidRPr="0088360A">
        <w:rPr>
          <w:rFonts w:eastAsia="Times New Roman"/>
          <w:bCs/>
          <w:color w:val="262626"/>
          <w:lang w:eastAsia="en-GB"/>
        </w:rPr>
        <w:t xml:space="preserve"> </w:t>
      </w:r>
    </w:p>
    <w:p w:rsidR="0088360A" w:rsidRPr="0088360A" w:rsidRDefault="0088360A" w:rsidP="0088360A">
      <w:pPr>
        <w:widowControl w:val="0"/>
        <w:pBdr>
          <w:top w:val="thinThickSmallGap" w:sz="24" w:space="1" w:color="auto"/>
          <w:left w:val="thinThickSmallGap" w:sz="24" w:space="4" w:color="auto"/>
          <w:bottom w:val="thickThinSmallGap" w:sz="24" w:space="1" w:color="auto"/>
          <w:right w:val="thickThinSmallGap" w:sz="24" w:space="4" w:color="auto"/>
        </w:pBdr>
        <w:tabs>
          <w:tab w:val="left" w:pos="7088"/>
        </w:tabs>
        <w:spacing w:after="0" w:line="240" w:lineRule="auto"/>
        <w:ind w:left="113" w:right="113"/>
        <w:jc w:val="center"/>
        <w:rPr>
          <w:rFonts w:eastAsia="Times New Roman"/>
          <w:b/>
          <w:bCs/>
          <w:color w:val="262626"/>
          <w:sz w:val="28"/>
          <w:szCs w:val="28"/>
          <w:lang w:eastAsia="en-GB"/>
        </w:rPr>
      </w:pPr>
      <w:r w:rsidRPr="0088360A">
        <w:rPr>
          <w:rFonts w:eastAsia="Times New Roman"/>
          <w:b/>
          <w:bCs/>
          <w:color w:val="262626"/>
          <w:sz w:val="28"/>
          <w:szCs w:val="28"/>
          <w:lang w:eastAsia="en-GB"/>
        </w:rPr>
        <w:t>REMEMBER</w:t>
      </w:r>
    </w:p>
    <w:p w:rsidR="0088360A" w:rsidRPr="0088360A" w:rsidRDefault="0088360A" w:rsidP="0088360A">
      <w:pPr>
        <w:widowControl w:val="0"/>
        <w:pBdr>
          <w:top w:val="thinThickSmallGap" w:sz="24" w:space="1" w:color="auto"/>
          <w:left w:val="thinThickSmallGap" w:sz="24" w:space="4" w:color="auto"/>
          <w:bottom w:val="thickThinSmallGap" w:sz="24" w:space="1" w:color="auto"/>
          <w:right w:val="thickThinSmallGap" w:sz="24" w:space="4" w:color="auto"/>
        </w:pBdr>
        <w:tabs>
          <w:tab w:val="left" w:pos="7088"/>
        </w:tabs>
        <w:spacing w:after="0" w:line="240" w:lineRule="auto"/>
        <w:ind w:left="113" w:right="113"/>
        <w:jc w:val="center"/>
        <w:rPr>
          <w:rFonts w:eastAsia="Times New Roman"/>
          <w:b/>
          <w:bCs/>
          <w:color w:val="262626"/>
          <w:sz w:val="28"/>
          <w:szCs w:val="28"/>
          <w:lang w:eastAsia="en-GB"/>
        </w:rPr>
      </w:pPr>
    </w:p>
    <w:p w:rsidR="0088360A" w:rsidRPr="0088360A" w:rsidRDefault="0088360A" w:rsidP="0088360A">
      <w:pPr>
        <w:widowControl w:val="0"/>
        <w:pBdr>
          <w:top w:val="thinThickSmallGap" w:sz="24" w:space="1" w:color="auto"/>
          <w:left w:val="thinThickSmallGap" w:sz="24" w:space="4" w:color="auto"/>
          <w:bottom w:val="thickThinSmallGap" w:sz="24" w:space="1" w:color="auto"/>
          <w:right w:val="thickThinSmallGap" w:sz="24" w:space="4" w:color="auto"/>
        </w:pBdr>
        <w:tabs>
          <w:tab w:val="left" w:pos="7088"/>
        </w:tabs>
        <w:spacing w:after="0" w:line="240" w:lineRule="auto"/>
        <w:ind w:left="113" w:right="113"/>
        <w:jc w:val="center"/>
        <w:rPr>
          <w:rFonts w:eastAsia="Times New Roman"/>
          <w:bCs/>
          <w:color w:val="262626"/>
          <w:lang w:eastAsia="en-GB"/>
        </w:rPr>
      </w:pPr>
      <w:r w:rsidRPr="0088360A">
        <w:rPr>
          <w:rFonts w:eastAsia="Times New Roman"/>
          <w:bCs/>
          <w:color w:val="262626"/>
          <w:lang w:eastAsia="en-GB"/>
        </w:rPr>
        <w:t xml:space="preserve">The Deprivation of Liberty Safeguards </w:t>
      </w:r>
      <w:proofErr w:type="gramStart"/>
      <w:r w:rsidRPr="0088360A">
        <w:rPr>
          <w:rFonts w:eastAsia="Times New Roman"/>
          <w:bCs/>
          <w:color w:val="262626"/>
          <w:lang w:eastAsia="en-GB"/>
        </w:rPr>
        <w:t>apply</w:t>
      </w:r>
      <w:proofErr w:type="gramEnd"/>
      <w:r w:rsidRPr="0088360A">
        <w:rPr>
          <w:rFonts w:eastAsia="Times New Roman"/>
          <w:bCs/>
          <w:color w:val="262626"/>
          <w:lang w:eastAsia="en-GB"/>
        </w:rPr>
        <w:t xml:space="preserve"> in hospitals and care homes but this criteria to decide what a deprivation of liberty is applies in any setting.</w:t>
      </w:r>
    </w:p>
    <w:p w:rsidR="0088360A" w:rsidRPr="0088360A" w:rsidRDefault="0088360A" w:rsidP="0088360A">
      <w:pPr>
        <w:widowControl w:val="0"/>
        <w:pBdr>
          <w:top w:val="thinThickSmallGap" w:sz="24" w:space="1" w:color="auto"/>
          <w:left w:val="thinThickSmallGap" w:sz="24" w:space="4" w:color="auto"/>
          <w:bottom w:val="thickThinSmallGap" w:sz="24" w:space="1" w:color="auto"/>
          <w:right w:val="thickThinSmallGap" w:sz="24" w:space="4" w:color="auto"/>
        </w:pBdr>
        <w:tabs>
          <w:tab w:val="left" w:pos="7088"/>
        </w:tabs>
        <w:spacing w:after="0" w:line="240" w:lineRule="auto"/>
        <w:ind w:left="113" w:right="113"/>
        <w:jc w:val="center"/>
        <w:rPr>
          <w:rFonts w:eastAsia="Times New Roman"/>
          <w:bCs/>
          <w:color w:val="262626"/>
          <w:lang w:eastAsia="en-GB"/>
        </w:rPr>
      </w:pPr>
    </w:p>
    <w:p w:rsidR="0088360A" w:rsidRPr="0088360A" w:rsidRDefault="0088360A" w:rsidP="0088360A">
      <w:pPr>
        <w:spacing w:after="0" w:line="240" w:lineRule="auto"/>
        <w:ind w:left="144" w:right="144"/>
        <w:jc w:val="both"/>
        <w:rPr>
          <w:rFonts w:eastAsia="Calibri"/>
          <w:color w:val="0D0D0D"/>
        </w:rPr>
      </w:pPr>
    </w:p>
    <w:p w:rsidR="0088360A" w:rsidRPr="0088360A" w:rsidRDefault="0088360A" w:rsidP="0088360A">
      <w:pPr>
        <w:spacing w:after="0" w:line="240" w:lineRule="auto"/>
        <w:ind w:right="144"/>
        <w:jc w:val="both"/>
        <w:rPr>
          <w:rFonts w:eastAsia="Calibri"/>
          <w:b/>
          <w:color w:val="0D0D0D"/>
        </w:rPr>
      </w:pPr>
      <w:r w:rsidRPr="0088360A">
        <w:rPr>
          <w:rFonts w:eastAsia="Calibri"/>
          <w:b/>
          <w:color w:val="0D0D0D"/>
        </w:rPr>
        <w:t>Settings other than hospitals or care homes</w:t>
      </w:r>
    </w:p>
    <w:p w:rsidR="0088360A" w:rsidRPr="0088360A" w:rsidRDefault="0088360A" w:rsidP="0088360A">
      <w:pPr>
        <w:spacing w:after="0" w:line="240" w:lineRule="auto"/>
        <w:ind w:right="144"/>
        <w:jc w:val="both"/>
        <w:rPr>
          <w:rFonts w:eastAsia="Calibri"/>
          <w:color w:val="0D0D0D"/>
        </w:rPr>
      </w:pPr>
    </w:p>
    <w:p w:rsidR="0088360A" w:rsidRPr="0088360A" w:rsidRDefault="0088360A" w:rsidP="0088360A">
      <w:pPr>
        <w:spacing w:after="0" w:line="240" w:lineRule="auto"/>
        <w:ind w:right="144"/>
        <w:jc w:val="both"/>
        <w:rPr>
          <w:rFonts w:eastAsia="Calibri"/>
          <w:color w:val="0D0D0D"/>
        </w:rPr>
      </w:pPr>
      <w:r w:rsidRPr="0088360A">
        <w:rPr>
          <w:rFonts w:eastAsia="Calibri"/>
          <w:color w:val="0D0D0D"/>
        </w:rPr>
        <w:t xml:space="preserve">In any other setting such as supported living, adult placement, small group homes and domestic settings an application </w:t>
      </w:r>
      <w:r w:rsidR="007D7DBF">
        <w:rPr>
          <w:rFonts w:eastAsia="Calibri"/>
          <w:color w:val="0D0D0D"/>
          <w:u w:val="single"/>
        </w:rPr>
        <w:t>must</w:t>
      </w:r>
      <w:r w:rsidRPr="0088360A">
        <w:rPr>
          <w:rFonts w:eastAsia="Calibri"/>
          <w:color w:val="0D0D0D"/>
        </w:rPr>
        <w:t xml:space="preserve"> to be made to the Court of Protection.   </w:t>
      </w:r>
    </w:p>
    <w:p w:rsidR="0088360A" w:rsidRPr="0088360A" w:rsidRDefault="0088360A" w:rsidP="0088360A">
      <w:pPr>
        <w:spacing w:after="0" w:line="240" w:lineRule="auto"/>
        <w:ind w:right="144"/>
        <w:jc w:val="both"/>
        <w:rPr>
          <w:rFonts w:eastAsia="Calibri"/>
          <w:color w:val="0D0D0D"/>
        </w:rPr>
      </w:pPr>
    </w:p>
    <w:p w:rsidR="0088360A" w:rsidRPr="0088360A" w:rsidRDefault="0088360A" w:rsidP="0088360A">
      <w:pPr>
        <w:spacing w:after="0" w:line="240" w:lineRule="auto"/>
        <w:ind w:right="144"/>
        <w:jc w:val="both"/>
        <w:rPr>
          <w:rFonts w:eastAsia="Calibri"/>
          <w:color w:val="0D0D0D"/>
        </w:rPr>
      </w:pPr>
      <w:r w:rsidRPr="0088360A">
        <w:rPr>
          <w:rFonts w:eastAsia="Calibri"/>
          <w:color w:val="0D0D0D"/>
        </w:rPr>
        <w:t>Legal</w:t>
      </w:r>
      <w:r w:rsidRPr="0088360A">
        <w:rPr>
          <w:rFonts w:eastAsia="Calibri"/>
          <w:color w:val="0D0D0D"/>
          <w:spacing w:val="4"/>
        </w:rPr>
        <w:t xml:space="preserve"> </w:t>
      </w:r>
      <w:r w:rsidRPr="0088360A">
        <w:rPr>
          <w:rFonts w:eastAsia="Calibri"/>
          <w:color w:val="0D0D0D"/>
        </w:rPr>
        <w:t>ad</w:t>
      </w:r>
      <w:r w:rsidRPr="0088360A">
        <w:rPr>
          <w:rFonts w:eastAsia="Calibri"/>
          <w:color w:val="0D0D0D"/>
          <w:spacing w:val="-2"/>
        </w:rPr>
        <w:t>v</w:t>
      </w:r>
      <w:r w:rsidRPr="0088360A">
        <w:rPr>
          <w:rFonts w:eastAsia="Calibri"/>
          <w:color w:val="0D0D0D"/>
        </w:rPr>
        <w:t>ice sho</w:t>
      </w:r>
      <w:r w:rsidRPr="0088360A">
        <w:rPr>
          <w:rFonts w:eastAsia="Calibri"/>
          <w:color w:val="0D0D0D"/>
          <w:spacing w:val="-2"/>
        </w:rPr>
        <w:t>u</w:t>
      </w:r>
      <w:r w:rsidRPr="0088360A">
        <w:rPr>
          <w:rFonts w:eastAsia="Calibri"/>
          <w:color w:val="0D0D0D"/>
        </w:rPr>
        <w:t>ld</w:t>
      </w:r>
      <w:r w:rsidRPr="0088360A">
        <w:rPr>
          <w:rFonts w:eastAsia="Calibri"/>
          <w:color w:val="0D0D0D"/>
          <w:spacing w:val="3"/>
        </w:rPr>
        <w:t xml:space="preserve"> </w:t>
      </w:r>
      <w:r w:rsidRPr="0088360A">
        <w:rPr>
          <w:rFonts w:eastAsia="Calibri"/>
          <w:color w:val="0D0D0D"/>
        </w:rPr>
        <w:t>be</w:t>
      </w:r>
      <w:r w:rsidRPr="0088360A">
        <w:rPr>
          <w:rFonts w:eastAsia="Calibri"/>
          <w:color w:val="0D0D0D"/>
          <w:spacing w:val="3"/>
        </w:rPr>
        <w:t xml:space="preserve"> </w:t>
      </w:r>
      <w:r w:rsidRPr="0088360A">
        <w:rPr>
          <w:rFonts w:eastAsia="Calibri"/>
          <w:color w:val="0D0D0D"/>
        </w:rPr>
        <w:t>sou</w:t>
      </w:r>
      <w:r w:rsidRPr="0088360A">
        <w:rPr>
          <w:rFonts w:eastAsia="Calibri"/>
          <w:color w:val="0D0D0D"/>
          <w:spacing w:val="-2"/>
        </w:rPr>
        <w:t>g</w:t>
      </w:r>
      <w:r w:rsidRPr="0088360A">
        <w:rPr>
          <w:rFonts w:eastAsia="Calibri"/>
          <w:color w:val="0D0D0D"/>
        </w:rPr>
        <w:t>ht as</w:t>
      </w:r>
      <w:r w:rsidRPr="0088360A">
        <w:rPr>
          <w:rFonts w:eastAsia="Calibri"/>
          <w:color w:val="0D0D0D"/>
          <w:spacing w:val="4"/>
        </w:rPr>
        <w:t xml:space="preserve"> </w:t>
      </w:r>
      <w:r w:rsidRPr="0088360A">
        <w:rPr>
          <w:rFonts w:eastAsia="Calibri"/>
          <w:color w:val="0D0D0D"/>
        </w:rPr>
        <w:t>soon</w:t>
      </w:r>
      <w:r w:rsidRPr="0088360A">
        <w:rPr>
          <w:rFonts w:eastAsia="Calibri"/>
          <w:color w:val="0D0D0D"/>
          <w:spacing w:val="4"/>
        </w:rPr>
        <w:t xml:space="preserve"> </w:t>
      </w:r>
      <w:r w:rsidRPr="0088360A">
        <w:rPr>
          <w:rFonts w:eastAsia="Calibri"/>
          <w:color w:val="0D0D0D"/>
          <w:spacing w:val="-2"/>
        </w:rPr>
        <w:t>a</w:t>
      </w:r>
      <w:r w:rsidRPr="0088360A">
        <w:rPr>
          <w:rFonts w:eastAsia="Calibri"/>
          <w:color w:val="0D0D0D"/>
        </w:rPr>
        <w:t>s</w:t>
      </w:r>
      <w:r w:rsidRPr="0088360A">
        <w:rPr>
          <w:rFonts w:eastAsia="Calibri"/>
          <w:color w:val="0D0D0D"/>
          <w:spacing w:val="4"/>
        </w:rPr>
        <w:t xml:space="preserve"> </w:t>
      </w:r>
      <w:r w:rsidRPr="0088360A">
        <w:rPr>
          <w:rFonts w:eastAsia="Calibri"/>
          <w:color w:val="0D0D0D"/>
        </w:rPr>
        <w:t>pos</w:t>
      </w:r>
      <w:r w:rsidRPr="0088360A">
        <w:rPr>
          <w:rFonts w:eastAsia="Calibri"/>
          <w:color w:val="0D0D0D"/>
          <w:spacing w:val="-1"/>
        </w:rPr>
        <w:t>s</w:t>
      </w:r>
      <w:r w:rsidRPr="0088360A">
        <w:rPr>
          <w:rFonts w:eastAsia="Calibri"/>
          <w:color w:val="0D0D0D"/>
        </w:rPr>
        <w:t>i</w:t>
      </w:r>
      <w:r w:rsidRPr="0088360A">
        <w:rPr>
          <w:rFonts w:eastAsia="Calibri"/>
          <w:color w:val="0D0D0D"/>
          <w:spacing w:val="-2"/>
        </w:rPr>
        <w:t>b</w:t>
      </w:r>
      <w:r w:rsidRPr="0088360A">
        <w:rPr>
          <w:rFonts w:eastAsia="Calibri"/>
          <w:color w:val="0D0D0D"/>
        </w:rPr>
        <w:t>le,</w:t>
      </w:r>
      <w:r w:rsidRPr="0088360A">
        <w:rPr>
          <w:rFonts w:eastAsia="Calibri"/>
          <w:color w:val="0D0D0D"/>
          <w:spacing w:val="3"/>
        </w:rPr>
        <w:t xml:space="preserve"> </w:t>
      </w:r>
      <w:r w:rsidRPr="0088360A">
        <w:rPr>
          <w:rFonts w:eastAsia="Calibri"/>
          <w:color w:val="0D0D0D"/>
        </w:rPr>
        <w:t>but see</w:t>
      </w:r>
      <w:r w:rsidRPr="0088360A">
        <w:rPr>
          <w:rFonts w:eastAsia="Calibri"/>
          <w:color w:val="0D0D0D"/>
          <w:spacing w:val="-2"/>
        </w:rPr>
        <w:t>k</w:t>
      </w:r>
      <w:r w:rsidRPr="0088360A">
        <w:rPr>
          <w:rFonts w:eastAsia="Calibri"/>
          <w:color w:val="0D0D0D"/>
        </w:rPr>
        <w:t xml:space="preserve">ing this </w:t>
      </w:r>
      <w:r w:rsidRPr="0088360A">
        <w:rPr>
          <w:rFonts w:eastAsia="Calibri"/>
          <w:color w:val="0D0D0D"/>
          <w:spacing w:val="3"/>
        </w:rPr>
        <w:t xml:space="preserve">should not </w:t>
      </w:r>
      <w:r w:rsidRPr="0088360A">
        <w:rPr>
          <w:rFonts w:eastAsia="Calibri"/>
          <w:color w:val="0D0D0D"/>
          <w:spacing w:val="-2"/>
        </w:rPr>
        <w:t>s</w:t>
      </w:r>
      <w:r w:rsidRPr="0088360A">
        <w:rPr>
          <w:rFonts w:eastAsia="Calibri"/>
          <w:color w:val="0D0D0D"/>
        </w:rPr>
        <w:t>ta</w:t>
      </w:r>
      <w:r w:rsidRPr="0088360A">
        <w:rPr>
          <w:rFonts w:eastAsia="Calibri"/>
          <w:color w:val="0D0D0D"/>
          <w:spacing w:val="-2"/>
        </w:rPr>
        <w:t>n</w:t>
      </w:r>
      <w:r w:rsidRPr="0088360A">
        <w:rPr>
          <w:rFonts w:eastAsia="Calibri"/>
          <w:color w:val="0D0D0D"/>
        </w:rPr>
        <w:t>d in</w:t>
      </w:r>
      <w:r w:rsidRPr="0088360A">
        <w:rPr>
          <w:rFonts w:eastAsia="Calibri"/>
          <w:color w:val="0D0D0D"/>
          <w:spacing w:val="2"/>
        </w:rPr>
        <w:t xml:space="preserve"> </w:t>
      </w:r>
      <w:r w:rsidRPr="0088360A">
        <w:rPr>
          <w:rFonts w:eastAsia="Calibri"/>
          <w:color w:val="0D0D0D"/>
          <w:spacing w:val="-1"/>
        </w:rPr>
        <w:t>t</w:t>
      </w:r>
      <w:r w:rsidRPr="0088360A">
        <w:rPr>
          <w:rFonts w:eastAsia="Calibri"/>
          <w:color w:val="0D0D0D"/>
        </w:rPr>
        <w:t>he</w:t>
      </w:r>
      <w:r w:rsidRPr="0088360A">
        <w:rPr>
          <w:rFonts w:eastAsia="Calibri"/>
          <w:color w:val="0D0D0D"/>
          <w:spacing w:val="3"/>
        </w:rPr>
        <w:t xml:space="preserve"> </w:t>
      </w:r>
      <w:r w:rsidRPr="0088360A">
        <w:rPr>
          <w:rFonts w:eastAsia="Calibri"/>
          <w:color w:val="0D0D0D"/>
          <w:spacing w:val="-1"/>
        </w:rPr>
        <w:t>w</w:t>
      </w:r>
      <w:r w:rsidRPr="0088360A">
        <w:rPr>
          <w:rFonts w:eastAsia="Calibri"/>
          <w:color w:val="0D0D0D"/>
        </w:rPr>
        <w:t>ay of</w:t>
      </w:r>
      <w:r w:rsidRPr="0088360A">
        <w:rPr>
          <w:rFonts w:eastAsia="Calibri"/>
          <w:color w:val="0D0D0D"/>
          <w:spacing w:val="3"/>
        </w:rPr>
        <w:t xml:space="preserve"> </w:t>
      </w:r>
      <w:r w:rsidRPr="0088360A">
        <w:rPr>
          <w:rFonts w:eastAsia="Calibri"/>
          <w:color w:val="0D0D0D"/>
          <w:spacing w:val="-2"/>
        </w:rPr>
        <w:t>p</w:t>
      </w:r>
      <w:r w:rsidRPr="0088360A">
        <w:rPr>
          <w:rFonts w:eastAsia="Calibri"/>
          <w:color w:val="0D0D0D"/>
        </w:rPr>
        <w:t>ro</w:t>
      </w:r>
      <w:r w:rsidRPr="0088360A">
        <w:rPr>
          <w:rFonts w:eastAsia="Calibri"/>
          <w:color w:val="0D0D0D"/>
          <w:spacing w:val="-2"/>
        </w:rPr>
        <w:t>v</w:t>
      </w:r>
      <w:r w:rsidRPr="0088360A">
        <w:rPr>
          <w:rFonts w:eastAsia="Calibri"/>
          <w:color w:val="0D0D0D"/>
        </w:rPr>
        <w:t>id</w:t>
      </w:r>
      <w:r w:rsidRPr="0088360A">
        <w:rPr>
          <w:rFonts w:eastAsia="Calibri"/>
          <w:color w:val="0D0D0D"/>
          <w:spacing w:val="-1"/>
        </w:rPr>
        <w:t>i</w:t>
      </w:r>
      <w:r w:rsidRPr="0088360A">
        <w:rPr>
          <w:rFonts w:eastAsia="Calibri"/>
          <w:color w:val="0D0D0D"/>
        </w:rPr>
        <w:t>ng any immediate ca</w:t>
      </w:r>
      <w:r w:rsidRPr="0088360A">
        <w:rPr>
          <w:rFonts w:eastAsia="Calibri"/>
          <w:color w:val="0D0D0D"/>
          <w:spacing w:val="-2"/>
        </w:rPr>
        <w:t>r</w:t>
      </w:r>
      <w:r w:rsidRPr="0088360A">
        <w:rPr>
          <w:rFonts w:eastAsia="Calibri"/>
          <w:color w:val="0D0D0D"/>
        </w:rPr>
        <w:t>e and</w:t>
      </w:r>
      <w:r w:rsidRPr="0088360A">
        <w:rPr>
          <w:rFonts w:eastAsia="Calibri"/>
          <w:color w:val="0D0D0D"/>
          <w:spacing w:val="3"/>
        </w:rPr>
        <w:t xml:space="preserve"> </w:t>
      </w:r>
      <w:r w:rsidRPr="0088360A">
        <w:rPr>
          <w:rFonts w:eastAsia="Calibri"/>
          <w:color w:val="0D0D0D"/>
          <w:spacing w:val="-2"/>
        </w:rPr>
        <w:t>a</w:t>
      </w:r>
      <w:r w:rsidRPr="0088360A">
        <w:rPr>
          <w:rFonts w:eastAsia="Calibri"/>
          <w:color w:val="0D0D0D"/>
        </w:rPr>
        <w:t>t</w:t>
      </w:r>
      <w:r w:rsidRPr="0088360A">
        <w:rPr>
          <w:rFonts w:eastAsia="Calibri"/>
          <w:color w:val="0D0D0D"/>
          <w:spacing w:val="-1"/>
        </w:rPr>
        <w:t>t</w:t>
      </w:r>
      <w:r w:rsidRPr="0088360A">
        <w:rPr>
          <w:rFonts w:eastAsia="Calibri"/>
          <w:color w:val="0D0D0D"/>
        </w:rPr>
        <w:t>en</w:t>
      </w:r>
      <w:r w:rsidRPr="0088360A">
        <w:rPr>
          <w:rFonts w:eastAsia="Calibri"/>
          <w:color w:val="0D0D0D"/>
          <w:spacing w:val="-1"/>
        </w:rPr>
        <w:t>t</w:t>
      </w:r>
      <w:r w:rsidRPr="0088360A">
        <w:rPr>
          <w:rFonts w:eastAsia="Calibri"/>
          <w:color w:val="0D0D0D"/>
        </w:rPr>
        <w:t>ion to the pers</w:t>
      </w:r>
      <w:r w:rsidRPr="0088360A">
        <w:rPr>
          <w:rFonts w:eastAsia="Calibri"/>
          <w:color w:val="0D0D0D"/>
          <w:spacing w:val="-2"/>
        </w:rPr>
        <w:t>o</w:t>
      </w:r>
      <w:r w:rsidRPr="0088360A">
        <w:rPr>
          <w:rFonts w:eastAsia="Calibri"/>
          <w:color w:val="0D0D0D"/>
        </w:rPr>
        <w:t>n.</w:t>
      </w:r>
    </w:p>
    <w:p w:rsidR="0088360A" w:rsidRPr="0088360A" w:rsidRDefault="0088360A" w:rsidP="0088360A">
      <w:pPr>
        <w:widowControl w:val="0"/>
        <w:tabs>
          <w:tab w:val="left" w:pos="7088"/>
        </w:tabs>
        <w:spacing w:after="0" w:line="240" w:lineRule="auto"/>
        <w:ind w:left="144" w:right="3712"/>
        <w:jc w:val="both"/>
        <w:rPr>
          <w:rFonts w:eastAsia="Times New Roman"/>
          <w:bCs/>
          <w:color w:val="262626"/>
          <w:lang w:eastAsia="en-GB"/>
        </w:rPr>
      </w:pPr>
    </w:p>
    <w:p w:rsidR="0088360A" w:rsidRPr="0088360A" w:rsidRDefault="0088360A" w:rsidP="0088360A">
      <w:pPr>
        <w:widowControl w:val="0"/>
        <w:tabs>
          <w:tab w:val="left" w:pos="7088"/>
        </w:tabs>
        <w:spacing w:after="0" w:line="240" w:lineRule="auto"/>
        <w:ind w:left="144" w:right="3712"/>
        <w:jc w:val="both"/>
        <w:rPr>
          <w:rFonts w:eastAsia="Times New Roman"/>
          <w:bCs/>
          <w:color w:val="262626"/>
          <w:lang w:eastAsia="en-GB"/>
        </w:rPr>
      </w:pPr>
    </w:p>
    <w:p w:rsidR="0088360A" w:rsidRPr="0088360A" w:rsidRDefault="0088360A" w:rsidP="0088360A">
      <w:pPr>
        <w:widowControl w:val="0"/>
        <w:tabs>
          <w:tab w:val="left" w:pos="567"/>
          <w:tab w:val="left" w:pos="7088"/>
        </w:tabs>
        <w:spacing w:after="0" w:line="240" w:lineRule="auto"/>
        <w:ind w:left="284" w:right="142" w:hanging="284"/>
        <w:jc w:val="both"/>
        <w:rPr>
          <w:rFonts w:eastAsia="Times New Roman"/>
          <w:b/>
          <w:bCs/>
          <w:color w:val="262626"/>
          <w:lang w:eastAsia="en-GB"/>
        </w:rPr>
      </w:pPr>
      <w:r w:rsidRPr="0088360A">
        <w:rPr>
          <w:rFonts w:eastAsia="Times New Roman"/>
          <w:b/>
          <w:bCs/>
          <w:color w:val="262626"/>
          <w:lang w:eastAsia="en-GB"/>
        </w:rPr>
        <w:t>EXAMPLES OF DEPRIVATION AS CONSIDERED BY THE SUPREME COURT</w:t>
      </w:r>
    </w:p>
    <w:p w:rsidR="0088360A" w:rsidRPr="0088360A" w:rsidRDefault="0088360A" w:rsidP="0088360A">
      <w:pPr>
        <w:widowControl w:val="0"/>
        <w:tabs>
          <w:tab w:val="left" w:pos="567"/>
          <w:tab w:val="left" w:pos="7088"/>
        </w:tabs>
        <w:spacing w:after="0" w:line="240" w:lineRule="auto"/>
        <w:ind w:left="284" w:right="142" w:hanging="284"/>
        <w:jc w:val="both"/>
        <w:rPr>
          <w:rFonts w:eastAsia="Times New Roman"/>
          <w:bCs/>
          <w:color w:val="262626"/>
          <w:lang w:eastAsia="en-GB"/>
        </w:rPr>
      </w:pPr>
    </w:p>
    <w:p w:rsidR="0088360A" w:rsidRPr="0088360A" w:rsidRDefault="0088360A" w:rsidP="0088360A">
      <w:pPr>
        <w:numPr>
          <w:ilvl w:val="0"/>
          <w:numId w:val="2"/>
        </w:numPr>
        <w:tabs>
          <w:tab w:val="left" w:pos="567"/>
        </w:tabs>
        <w:spacing w:after="0" w:line="240" w:lineRule="auto"/>
        <w:ind w:left="567" w:right="144" w:hanging="567"/>
        <w:jc w:val="both"/>
        <w:rPr>
          <w:rFonts w:eastAsia="Calibri"/>
          <w:color w:val="0D0D0D"/>
        </w:rPr>
      </w:pPr>
      <w:r w:rsidRPr="0088360A">
        <w:rPr>
          <w:rFonts w:eastAsia="Calibri"/>
          <w:color w:val="0D0D0D"/>
        </w:rPr>
        <w:t xml:space="preserve">An adult with a learning disability living in a bungalow with two other residents, with two members of staff on duty during the day and one ‘waking’ member of staff overnight. The adult requires prompting and help with all the activities of daily living, getting about, eating, personal hygiene and continence.  He sometimes requires further intervention when he exhibits challenging behaviour, but is not prescribed any tranquilising medication. He is unable to go anywhere or do anything without one to one support; he gets 98 hours a week support to enable him to leave the home frequently for activities and visits. </w:t>
      </w:r>
    </w:p>
    <w:p w:rsidR="0088360A" w:rsidRPr="0088360A" w:rsidRDefault="0088360A" w:rsidP="0088360A">
      <w:pPr>
        <w:tabs>
          <w:tab w:val="left" w:pos="567"/>
        </w:tabs>
        <w:spacing w:after="0" w:line="240" w:lineRule="auto"/>
        <w:ind w:left="567" w:right="144" w:hanging="567"/>
        <w:jc w:val="both"/>
        <w:rPr>
          <w:rFonts w:eastAsia="Calibri"/>
          <w:color w:val="0D0D0D"/>
        </w:rPr>
      </w:pPr>
    </w:p>
    <w:p w:rsidR="0088360A" w:rsidRPr="0088360A" w:rsidRDefault="0088360A" w:rsidP="0088360A">
      <w:pPr>
        <w:numPr>
          <w:ilvl w:val="0"/>
          <w:numId w:val="2"/>
        </w:numPr>
        <w:tabs>
          <w:tab w:val="left" w:pos="567"/>
        </w:tabs>
        <w:spacing w:after="0" w:line="240" w:lineRule="auto"/>
        <w:ind w:left="567" w:right="144" w:hanging="567"/>
        <w:jc w:val="both"/>
        <w:rPr>
          <w:rFonts w:eastAsia="Calibri"/>
          <w:color w:val="0D0D0D"/>
        </w:rPr>
      </w:pPr>
      <w:r w:rsidRPr="0088360A">
        <w:rPr>
          <w:rFonts w:eastAsia="Calibri"/>
          <w:color w:val="0D0D0D"/>
        </w:rPr>
        <w:t>A 17 year old with mild learning disabilities living with three others in an NHS residential home for learning disabled adolescents with complex needs.  She has occasional outbursts of challenging behaviour towards the other three residents and sometimes requires physical restraint.  She is prescribed (and administered) tranquilising medication.  She has one to one and sometimes two to one support.  Continuous supervision and control is exercised so as to meet her care needs. She is accompanied by staff whenever she leaves.  She attends a further education unit daily during term time and has a full social life.  She shows no wish to go out on her own and so there is no need to prevent her from doing so.</w:t>
      </w:r>
    </w:p>
    <w:p w:rsidR="0088360A" w:rsidRPr="0088360A" w:rsidRDefault="0088360A" w:rsidP="0088360A">
      <w:pPr>
        <w:tabs>
          <w:tab w:val="left" w:pos="567"/>
        </w:tabs>
        <w:spacing w:after="160" w:line="259" w:lineRule="auto"/>
        <w:ind w:left="567" w:hanging="567"/>
        <w:contextualSpacing/>
        <w:rPr>
          <w:rFonts w:eastAsia="Calibri"/>
        </w:rPr>
      </w:pPr>
    </w:p>
    <w:p w:rsidR="0088360A" w:rsidRPr="0088360A" w:rsidRDefault="0088360A" w:rsidP="0088360A">
      <w:pPr>
        <w:numPr>
          <w:ilvl w:val="0"/>
          <w:numId w:val="2"/>
        </w:numPr>
        <w:tabs>
          <w:tab w:val="left" w:pos="567"/>
        </w:tabs>
        <w:spacing w:after="0" w:line="240" w:lineRule="auto"/>
        <w:ind w:left="567" w:right="144" w:hanging="567"/>
        <w:jc w:val="both"/>
        <w:rPr>
          <w:rFonts w:eastAsia="Calibri"/>
          <w:color w:val="0D0D0D"/>
        </w:rPr>
      </w:pPr>
      <w:r w:rsidRPr="0088360A">
        <w:rPr>
          <w:rFonts w:eastAsia="Calibri"/>
          <w:color w:val="0D0D0D"/>
        </w:rPr>
        <w:lastRenderedPageBreak/>
        <w:t>An 18 year old with a moderate to severe learning disability and problems with her sight and hearing, who require assistance crossing the road because she is unaware of danger, living with a foster mother whom she regards as ‘mummy.’ Her foster mother provides her with intensive support in most aspects of daily living.  She is not on any medication.  She has never attempted to leave the home by herself and showed no wish to do so, but if she did, her foster mother would restrain her. She attends a further education unit daily during term time and is taken on trips and holidays by her foster mother.</w:t>
      </w:r>
    </w:p>
    <w:p w:rsidR="0088360A" w:rsidRPr="0088360A" w:rsidRDefault="0088360A" w:rsidP="0088360A">
      <w:pPr>
        <w:widowControl w:val="0"/>
        <w:tabs>
          <w:tab w:val="left" w:pos="7088"/>
        </w:tabs>
        <w:spacing w:after="0" w:line="240" w:lineRule="auto"/>
        <w:ind w:left="567" w:right="3712" w:hanging="567"/>
        <w:jc w:val="both"/>
        <w:rPr>
          <w:rFonts w:eastAsia="Times New Roman"/>
          <w:bCs/>
          <w:color w:val="262626"/>
          <w:lang w:eastAsia="en-GB"/>
        </w:rPr>
      </w:pPr>
    </w:p>
    <w:p w:rsidR="0088360A" w:rsidRPr="0088360A" w:rsidRDefault="0088360A" w:rsidP="0088360A">
      <w:pPr>
        <w:keepNext/>
        <w:keepLines/>
        <w:shd w:val="clear" w:color="auto" w:fill="FFFFFF"/>
        <w:spacing w:before="200" w:after="0" w:line="259" w:lineRule="auto"/>
        <w:ind w:left="567" w:hanging="567"/>
        <w:outlineLvl w:val="2"/>
        <w:rPr>
          <w:rFonts w:eastAsia="Times New Roman"/>
          <w:b/>
          <w:bCs/>
          <w:i/>
          <w:lang w:val="en-US"/>
        </w:rPr>
      </w:pPr>
      <w:r w:rsidRPr="0088360A">
        <w:rPr>
          <w:rFonts w:eastAsia="Times New Roman"/>
          <w:b/>
          <w:bCs/>
          <w:i/>
          <w:lang w:val="en-US"/>
        </w:rPr>
        <w:t xml:space="preserve">In addition </w:t>
      </w:r>
      <w:proofErr w:type="spellStart"/>
      <w:r w:rsidRPr="0088360A">
        <w:rPr>
          <w:rFonts w:eastAsia="Times New Roman"/>
          <w:b/>
          <w:bCs/>
          <w:i/>
          <w:lang w:val="en-US"/>
        </w:rPr>
        <w:t>Hempsons</w:t>
      </w:r>
      <w:proofErr w:type="spellEnd"/>
      <w:r w:rsidRPr="0088360A">
        <w:rPr>
          <w:rFonts w:eastAsia="Times New Roman"/>
          <w:b/>
          <w:bCs/>
          <w:i/>
          <w:lang w:val="en-US"/>
        </w:rPr>
        <w:t xml:space="preserve"> (health and social enterprise lawyers) advise:</w:t>
      </w:r>
    </w:p>
    <w:p w:rsidR="0088360A" w:rsidRPr="0088360A" w:rsidRDefault="0088360A" w:rsidP="0088360A">
      <w:pPr>
        <w:numPr>
          <w:ilvl w:val="0"/>
          <w:numId w:val="3"/>
        </w:numPr>
        <w:shd w:val="clear" w:color="auto" w:fill="FFFFFF"/>
        <w:spacing w:before="100" w:beforeAutospacing="1" w:after="100" w:afterAutospacing="1" w:line="240" w:lineRule="auto"/>
        <w:ind w:left="567" w:hanging="567"/>
        <w:jc w:val="both"/>
        <w:rPr>
          <w:rFonts w:eastAsia="Calibri"/>
          <w:color w:val="2E3C22"/>
          <w:lang w:val="en-US"/>
        </w:rPr>
      </w:pPr>
      <w:r w:rsidRPr="0088360A">
        <w:rPr>
          <w:rFonts w:eastAsia="Calibri"/>
          <w:color w:val="2E3C22"/>
          <w:lang w:val="en-US"/>
        </w:rPr>
        <w:t>If P is in hospital for treatment of a physical condition and would not be allowed to leave if P wanted to and objection would be made if relatives tried to remove P.</w:t>
      </w:r>
    </w:p>
    <w:p w:rsidR="0088360A" w:rsidRPr="0088360A" w:rsidRDefault="0088360A" w:rsidP="0088360A">
      <w:pPr>
        <w:numPr>
          <w:ilvl w:val="0"/>
          <w:numId w:val="3"/>
        </w:numPr>
        <w:shd w:val="clear" w:color="auto" w:fill="FFFFFF"/>
        <w:spacing w:before="100" w:beforeAutospacing="1" w:after="100" w:afterAutospacing="1" w:line="240" w:lineRule="auto"/>
        <w:ind w:left="567" w:right="95" w:hanging="567"/>
        <w:jc w:val="both"/>
        <w:rPr>
          <w:rFonts w:eastAsia="Calibri"/>
          <w:color w:val="2E3C22"/>
          <w:lang w:val="en-US"/>
        </w:rPr>
      </w:pPr>
      <w:r w:rsidRPr="0088360A">
        <w:rPr>
          <w:rFonts w:eastAsia="Calibri"/>
          <w:color w:val="2E3C22"/>
          <w:lang w:val="en-US"/>
        </w:rPr>
        <w:t>More widely (and controversially), patients who are PVS or minimally conscious or sedated on ITU might be deprived of liberty, those patients may well not qualify for the Deprivation of Liberty Safeguards in the Mental Capacity Act 2005 because they do not have a mental disorder (within the meaning of the Mental Health Act 1983), an application to Court would then be necessary.</w:t>
      </w:r>
    </w:p>
    <w:p w:rsidR="0088360A" w:rsidRPr="0088360A" w:rsidRDefault="0088360A" w:rsidP="0088360A">
      <w:pPr>
        <w:widowControl w:val="0"/>
        <w:tabs>
          <w:tab w:val="left" w:pos="7088"/>
        </w:tabs>
        <w:spacing w:after="0" w:line="240" w:lineRule="auto"/>
        <w:ind w:right="113"/>
        <w:jc w:val="both"/>
        <w:rPr>
          <w:rFonts w:eastAsia="Times New Roman"/>
          <w:b/>
          <w:bCs/>
          <w:color w:val="262626"/>
          <w:lang w:eastAsia="en-GB"/>
        </w:rPr>
      </w:pPr>
      <w:r w:rsidRPr="0088360A">
        <w:rPr>
          <w:rFonts w:eastAsia="Times New Roman"/>
          <w:b/>
          <w:bCs/>
          <w:color w:val="262626"/>
          <w:lang w:eastAsia="en-GB"/>
        </w:rPr>
        <w:t xml:space="preserve">The DoLS Code of Practice and previous training you may have attended lists the factors which may indicate a deprivation of liberty these must now be read in the light of the decision of the Supreme Court in the Cheshire West case. </w:t>
      </w:r>
    </w:p>
    <w:p w:rsidR="0088360A" w:rsidRPr="0088360A" w:rsidRDefault="0088360A" w:rsidP="0088360A">
      <w:pPr>
        <w:widowControl w:val="0"/>
        <w:tabs>
          <w:tab w:val="left" w:pos="7088"/>
        </w:tabs>
        <w:spacing w:after="0" w:line="240" w:lineRule="auto"/>
        <w:ind w:right="3712"/>
        <w:jc w:val="both"/>
        <w:rPr>
          <w:rFonts w:eastAsia="Times New Roman"/>
          <w:b/>
          <w:bCs/>
          <w:color w:val="262626"/>
          <w:lang w:eastAsia="en-GB"/>
        </w:rPr>
      </w:pPr>
    </w:p>
    <w:p w:rsidR="0088360A" w:rsidRPr="0088360A" w:rsidRDefault="0088360A" w:rsidP="0088360A">
      <w:pPr>
        <w:widowControl w:val="0"/>
        <w:tabs>
          <w:tab w:val="left" w:pos="7088"/>
        </w:tabs>
        <w:spacing w:after="0" w:line="240" w:lineRule="auto"/>
        <w:ind w:right="113"/>
        <w:jc w:val="both"/>
        <w:rPr>
          <w:rFonts w:eastAsia="Times New Roman"/>
          <w:bCs/>
          <w:i/>
          <w:color w:val="262626"/>
          <w:sz w:val="20"/>
          <w:szCs w:val="20"/>
          <w:lang w:eastAsia="en-GB"/>
        </w:rPr>
      </w:pPr>
    </w:p>
    <w:p w:rsidR="0088360A" w:rsidRPr="0088360A" w:rsidRDefault="0088360A" w:rsidP="0088360A">
      <w:pPr>
        <w:widowControl w:val="0"/>
        <w:tabs>
          <w:tab w:val="left" w:pos="7088"/>
        </w:tabs>
        <w:spacing w:after="0" w:line="240" w:lineRule="auto"/>
        <w:ind w:right="113"/>
        <w:jc w:val="both"/>
        <w:rPr>
          <w:rFonts w:eastAsia="Times New Roman"/>
          <w:bCs/>
          <w:i/>
          <w:color w:val="262626"/>
          <w:sz w:val="20"/>
          <w:szCs w:val="20"/>
          <w:lang w:eastAsia="en-GB"/>
        </w:rPr>
      </w:pPr>
      <w:r w:rsidRPr="0088360A">
        <w:rPr>
          <w:rFonts w:eastAsia="Times New Roman"/>
          <w:bCs/>
          <w:i/>
          <w:color w:val="262626"/>
          <w:sz w:val="20"/>
          <w:szCs w:val="20"/>
          <w:lang w:eastAsia="en-GB"/>
        </w:rPr>
        <w:t xml:space="preserve">This is a short guide to assist Managing Authorities and not a full statement of the law. It is derived from the </w:t>
      </w:r>
      <w:r w:rsidRPr="0088360A">
        <w:rPr>
          <w:rFonts w:eastAsia="Times New Roman"/>
          <w:b/>
          <w:bCs/>
          <w:i/>
          <w:color w:val="262626"/>
          <w:sz w:val="20"/>
          <w:szCs w:val="20"/>
          <w:lang w:eastAsia="en-GB"/>
        </w:rPr>
        <w:t>Mental Capacity Law Guidance</w:t>
      </w:r>
      <w:r w:rsidRPr="0088360A">
        <w:rPr>
          <w:rFonts w:eastAsia="Times New Roman"/>
          <w:bCs/>
          <w:i/>
          <w:color w:val="262626"/>
          <w:sz w:val="20"/>
          <w:szCs w:val="20"/>
          <w:lang w:eastAsia="en-GB"/>
        </w:rPr>
        <w:t xml:space="preserve"> issued by 39 Essex St in March 2014</w:t>
      </w:r>
    </w:p>
    <w:p w:rsidR="0088360A" w:rsidRPr="0088360A" w:rsidRDefault="0088360A" w:rsidP="0088360A">
      <w:pPr>
        <w:widowControl w:val="0"/>
        <w:tabs>
          <w:tab w:val="left" w:pos="7088"/>
        </w:tabs>
        <w:spacing w:after="0" w:line="240" w:lineRule="auto"/>
        <w:ind w:right="3712"/>
        <w:jc w:val="both"/>
        <w:rPr>
          <w:rFonts w:eastAsia="Times New Roman"/>
          <w:b/>
          <w:bCs/>
          <w:color w:val="262626"/>
          <w:lang w:eastAsia="en-GB"/>
        </w:rPr>
      </w:pPr>
    </w:p>
    <w:p w:rsidR="0088360A" w:rsidRPr="0088360A" w:rsidRDefault="0088360A" w:rsidP="0088360A">
      <w:pPr>
        <w:widowControl w:val="0"/>
        <w:tabs>
          <w:tab w:val="left" w:pos="7088"/>
        </w:tabs>
        <w:spacing w:after="0" w:line="240" w:lineRule="auto"/>
        <w:ind w:right="3712"/>
        <w:jc w:val="both"/>
        <w:rPr>
          <w:rFonts w:eastAsia="Times New Roman"/>
          <w:b/>
          <w:bCs/>
          <w:color w:val="262626"/>
          <w:lang w:eastAsia="en-GB"/>
        </w:rPr>
      </w:pPr>
    </w:p>
    <w:p w:rsidR="0088360A" w:rsidRPr="0088360A" w:rsidRDefault="0088360A" w:rsidP="0088360A">
      <w:pPr>
        <w:widowControl w:val="0"/>
        <w:tabs>
          <w:tab w:val="left" w:pos="7088"/>
        </w:tabs>
        <w:spacing w:after="0" w:line="240" w:lineRule="auto"/>
        <w:jc w:val="both"/>
        <w:rPr>
          <w:rFonts w:eastAsia="Times New Roman"/>
          <w:b/>
          <w:bCs/>
          <w:color w:val="262626"/>
          <w:lang w:eastAsia="en-GB"/>
        </w:rPr>
      </w:pPr>
    </w:p>
    <w:p w:rsidR="0088360A" w:rsidRPr="0088360A" w:rsidRDefault="0088360A" w:rsidP="0088360A">
      <w:pPr>
        <w:widowControl w:val="0"/>
        <w:tabs>
          <w:tab w:val="left" w:pos="7088"/>
        </w:tabs>
        <w:spacing w:after="0" w:line="240" w:lineRule="auto"/>
        <w:jc w:val="both"/>
        <w:rPr>
          <w:rFonts w:eastAsia="Times New Roman"/>
          <w:b/>
          <w:bCs/>
          <w:color w:val="262626"/>
          <w:lang w:eastAsia="en-GB"/>
        </w:rPr>
      </w:pPr>
      <w:r w:rsidRPr="0088360A">
        <w:rPr>
          <w:rFonts w:eastAsia="Times New Roman"/>
          <w:b/>
          <w:bCs/>
          <w:color w:val="262626"/>
          <w:lang w:eastAsia="en-GB"/>
        </w:rPr>
        <w:t>Warwickshire Deprivation of Liberty Safeguards Team contact details:</w:t>
      </w:r>
    </w:p>
    <w:p w:rsidR="0088360A" w:rsidRPr="0088360A" w:rsidRDefault="0088360A" w:rsidP="0088360A">
      <w:pPr>
        <w:widowControl w:val="0"/>
        <w:tabs>
          <w:tab w:val="left" w:pos="7088"/>
        </w:tabs>
        <w:spacing w:after="0" w:line="240" w:lineRule="auto"/>
        <w:jc w:val="both"/>
        <w:rPr>
          <w:rFonts w:eastAsia="Times New Roman"/>
          <w:b/>
          <w:bCs/>
          <w:color w:val="262626"/>
          <w:lang w:eastAsia="en-GB"/>
        </w:rPr>
      </w:pP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Cs/>
          <w:color w:val="262626"/>
          <w:lang w:eastAsia="en-GB"/>
        </w:rPr>
        <w:t>DoLS Team Administrator</w:t>
      </w: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Cs/>
          <w:color w:val="262626"/>
          <w:lang w:eastAsia="en-GB"/>
        </w:rPr>
        <w:t>First Floor</w:t>
      </w: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Cs/>
          <w:color w:val="262626"/>
          <w:lang w:eastAsia="en-GB"/>
        </w:rPr>
        <w:t>Warwick House</w:t>
      </w: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Cs/>
          <w:color w:val="262626"/>
          <w:lang w:eastAsia="en-GB"/>
        </w:rPr>
        <w:t>Ratcliffe Street</w:t>
      </w: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Cs/>
          <w:color w:val="262626"/>
          <w:lang w:eastAsia="en-GB"/>
        </w:rPr>
        <w:t>Atherstone</w:t>
      </w: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Cs/>
          <w:color w:val="262626"/>
          <w:lang w:eastAsia="en-GB"/>
        </w:rPr>
        <w:t>Warwickshire</w:t>
      </w:r>
    </w:p>
    <w:p w:rsidR="0088360A" w:rsidRPr="0088360A" w:rsidRDefault="0088360A" w:rsidP="0088360A">
      <w:pPr>
        <w:widowControl w:val="0"/>
        <w:tabs>
          <w:tab w:val="left" w:pos="7088"/>
        </w:tabs>
        <w:spacing w:after="0" w:line="240" w:lineRule="auto"/>
        <w:jc w:val="both"/>
        <w:rPr>
          <w:rFonts w:eastAsia="Times New Roman"/>
          <w:b/>
          <w:bCs/>
          <w:color w:val="262626"/>
          <w:lang w:eastAsia="en-GB"/>
        </w:rPr>
      </w:pP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
          <w:bCs/>
          <w:color w:val="262626"/>
          <w:lang w:eastAsia="en-GB"/>
        </w:rPr>
        <w:t xml:space="preserve">Tel:    </w:t>
      </w:r>
      <w:r w:rsidRPr="0088360A">
        <w:rPr>
          <w:rFonts w:eastAsia="Times New Roman"/>
          <w:bCs/>
          <w:color w:val="262626"/>
          <w:lang w:eastAsia="en-GB"/>
        </w:rPr>
        <w:t xml:space="preserve"> 01926 413914</w:t>
      </w:r>
    </w:p>
    <w:p w:rsidR="0088360A" w:rsidRPr="0088360A" w:rsidRDefault="0088360A" w:rsidP="0088360A">
      <w:pPr>
        <w:widowControl w:val="0"/>
        <w:tabs>
          <w:tab w:val="left" w:pos="7088"/>
        </w:tabs>
        <w:spacing w:after="0" w:line="240" w:lineRule="auto"/>
        <w:jc w:val="both"/>
        <w:rPr>
          <w:rFonts w:eastAsia="Times New Roman"/>
          <w:bCs/>
          <w:color w:val="262626"/>
          <w:lang w:eastAsia="en-GB"/>
        </w:rPr>
      </w:pPr>
      <w:r w:rsidRPr="0088360A">
        <w:rPr>
          <w:rFonts w:eastAsia="Times New Roman"/>
          <w:b/>
          <w:bCs/>
          <w:color w:val="262626"/>
          <w:lang w:eastAsia="en-GB"/>
        </w:rPr>
        <w:t>Fax:</w:t>
      </w:r>
      <w:r w:rsidRPr="0088360A">
        <w:rPr>
          <w:rFonts w:eastAsia="Times New Roman"/>
          <w:bCs/>
          <w:color w:val="262626"/>
          <w:lang w:eastAsia="en-GB"/>
        </w:rPr>
        <w:t xml:space="preserve">    01926 413950</w:t>
      </w:r>
    </w:p>
    <w:p w:rsidR="00584430" w:rsidRDefault="0088360A" w:rsidP="0088360A">
      <w:r w:rsidRPr="0088360A">
        <w:rPr>
          <w:rFonts w:eastAsia="Times New Roman"/>
          <w:b/>
          <w:bCs/>
          <w:color w:val="262626"/>
          <w:lang w:eastAsia="en-GB"/>
        </w:rPr>
        <w:t>Email:</w:t>
      </w:r>
      <w:r w:rsidRPr="0088360A">
        <w:rPr>
          <w:rFonts w:eastAsia="Times New Roman"/>
          <w:bCs/>
          <w:color w:val="262626"/>
          <w:lang w:eastAsia="en-GB"/>
        </w:rPr>
        <w:t xml:space="preserve"> dols@warwickshire.gov.uk</w:t>
      </w:r>
    </w:p>
    <w:sectPr w:rsidR="005844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79" w:rsidRDefault="008D7F79" w:rsidP="0088360A">
      <w:pPr>
        <w:spacing w:after="0" w:line="240" w:lineRule="auto"/>
      </w:pPr>
      <w:r>
        <w:separator/>
      </w:r>
    </w:p>
  </w:endnote>
  <w:endnote w:type="continuationSeparator" w:id="0">
    <w:p w:rsidR="008D7F79" w:rsidRDefault="008D7F79" w:rsidP="0088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55491"/>
      <w:docPartObj>
        <w:docPartGallery w:val="Page Numbers (Bottom of Page)"/>
        <w:docPartUnique/>
      </w:docPartObj>
    </w:sdtPr>
    <w:sdtEndPr>
      <w:rPr>
        <w:noProof/>
      </w:rPr>
    </w:sdtEndPr>
    <w:sdtContent>
      <w:p w:rsidR="0088360A" w:rsidRDefault="0088360A">
        <w:pPr>
          <w:pStyle w:val="Footer"/>
          <w:jc w:val="center"/>
        </w:pPr>
        <w:r>
          <w:fldChar w:fldCharType="begin"/>
        </w:r>
        <w:r>
          <w:instrText xml:space="preserve"> PAGE   \* MERGEFORMAT </w:instrText>
        </w:r>
        <w:r>
          <w:fldChar w:fldCharType="separate"/>
        </w:r>
        <w:r w:rsidR="00FB2926">
          <w:rPr>
            <w:noProof/>
          </w:rPr>
          <w:t>1</w:t>
        </w:r>
        <w:r>
          <w:rPr>
            <w:noProof/>
          </w:rPr>
          <w:fldChar w:fldCharType="end"/>
        </w:r>
      </w:p>
    </w:sdtContent>
  </w:sdt>
  <w:p w:rsidR="0088360A" w:rsidRDefault="0088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79" w:rsidRDefault="008D7F79" w:rsidP="0088360A">
      <w:pPr>
        <w:spacing w:after="0" w:line="240" w:lineRule="auto"/>
      </w:pPr>
      <w:r>
        <w:separator/>
      </w:r>
    </w:p>
  </w:footnote>
  <w:footnote w:type="continuationSeparator" w:id="0">
    <w:p w:rsidR="008D7F79" w:rsidRDefault="008D7F79" w:rsidP="00883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33F1C"/>
    <w:multiLevelType w:val="hybridMultilevel"/>
    <w:tmpl w:val="CE96D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1B3D08"/>
    <w:multiLevelType w:val="hybridMultilevel"/>
    <w:tmpl w:val="95461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A5320"/>
    <w:multiLevelType w:val="hybridMultilevel"/>
    <w:tmpl w:val="54F0F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9A0507"/>
    <w:multiLevelType w:val="hybridMultilevel"/>
    <w:tmpl w:val="7474E330"/>
    <w:lvl w:ilvl="0" w:tplc="A71A3C2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4">
    <w:nsid w:val="63423595"/>
    <w:multiLevelType w:val="multilevel"/>
    <w:tmpl w:val="B25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0A"/>
    <w:rsid w:val="00103C28"/>
    <w:rsid w:val="00584430"/>
    <w:rsid w:val="007D7DBF"/>
    <w:rsid w:val="0088360A"/>
    <w:rsid w:val="008D7F79"/>
    <w:rsid w:val="00A70212"/>
    <w:rsid w:val="00FB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60A"/>
  </w:style>
  <w:style w:type="paragraph" w:styleId="Footer">
    <w:name w:val="footer"/>
    <w:basedOn w:val="Normal"/>
    <w:link w:val="FooterChar"/>
    <w:uiPriority w:val="99"/>
    <w:unhideWhenUsed/>
    <w:rsid w:val="00883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60A"/>
  </w:style>
  <w:style w:type="paragraph" w:styleId="Footer">
    <w:name w:val="footer"/>
    <w:basedOn w:val="Normal"/>
    <w:link w:val="FooterChar"/>
    <w:uiPriority w:val="99"/>
    <w:unhideWhenUsed/>
    <w:rsid w:val="00883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Welch</dc:creator>
  <cp:lastModifiedBy>Redgate Tracy (05A) NHS Coventry and Rugby CCG</cp:lastModifiedBy>
  <cp:revision>2</cp:revision>
  <cp:lastPrinted>2014-04-10T14:38:00Z</cp:lastPrinted>
  <dcterms:created xsi:type="dcterms:W3CDTF">2014-05-29T15:29:00Z</dcterms:created>
  <dcterms:modified xsi:type="dcterms:W3CDTF">2014-05-29T15:29:00Z</dcterms:modified>
</cp:coreProperties>
</file>